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E5" w:rsidRDefault="00F531E5" w:rsidP="00F531E5">
      <w:pPr>
        <w:shd w:val="clear" w:color="auto" w:fill="FFFFFF"/>
        <w:tabs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</w:p>
    <w:p w:rsidR="00F531E5" w:rsidRDefault="00F531E5" w:rsidP="00F531E5">
      <w:pPr>
        <w:shd w:val="clear" w:color="auto" w:fill="FFFFFF"/>
        <w:tabs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</w:p>
    <w:p w:rsidR="009A7F9F" w:rsidRDefault="009A7F9F" w:rsidP="00F531E5">
      <w:pPr>
        <w:shd w:val="clear" w:color="auto" w:fill="FFFFFF"/>
        <w:tabs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</w:p>
    <w:p w:rsidR="009A7F9F" w:rsidRDefault="009A7F9F" w:rsidP="00F531E5">
      <w:pPr>
        <w:shd w:val="clear" w:color="auto" w:fill="FFFFFF"/>
        <w:tabs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bookmarkStart w:id="0" w:name="_GoBack"/>
      <w:bookmarkEnd w:id="0"/>
    </w:p>
    <w:p w:rsidR="00F531E5" w:rsidRDefault="00F531E5" w:rsidP="00F531E5">
      <w:pPr>
        <w:shd w:val="clear" w:color="auto" w:fill="FFFFFF"/>
        <w:tabs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</w:p>
    <w:p w:rsidR="00F531E5" w:rsidRDefault="00F531E5" w:rsidP="00F531E5">
      <w:pPr>
        <w:shd w:val="clear" w:color="auto" w:fill="FFFFFF"/>
        <w:tabs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</w:p>
    <w:p w:rsidR="00F531E5" w:rsidRDefault="00F531E5" w:rsidP="00F531E5">
      <w:pPr>
        <w:shd w:val="clear" w:color="auto" w:fill="FFFFFF"/>
        <w:tabs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4E615B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В процессе деятельности </w:t>
      </w:r>
      <w:r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>_______________</w:t>
      </w:r>
      <w:r w:rsidRPr="004E615B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 заключаются многочисленные договоры с партнерами и поставщиками, клиентами. При исполнении таких договоров имеются риски возникновения споров между сторонами. </w:t>
      </w:r>
    </w:p>
    <w:p w:rsidR="00F531E5" w:rsidRDefault="00F531E5" w:rsidP="00F531E5">
      <w:pPr>
        <w:shd w:val="clear" w:color="auto" w:fill="FFFFFF"/>
        <w:tabs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A17068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>Мы предлагаем разрешать возможные споры в Арбитражном центре Национальной палаты предпринимателей РК «Атамекен», что обеспечит основу для надежного и стабильного взаимодействия Вашей компании с контрагентами.</w:t>
      </w:r>
    </w:p>
    <w:p w:rsidR="00F531E5" w:rsidRPr="00281FE9" w:rsidRDefault="00F531E5" w:rsidP="00F531E5">
      <w:pPr>
        <w:shd w:val="clear" w:color="auto" w:fill="FFFFFF"/>
        <w:tabs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281FE9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>К числу основных преимуществ рассмотрения споров в Арбитражном центре для компаний, по сравнению с рассмотрением государственными судами, относятся:</w:t>
      </w:r>
    </w:p>
    <w:p w:rsidR="00F531E5" w:rsidRPr="001A119D" w:rsidRDefault="00F531E5" w:rsidP="00F531E5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1A119D">
        <w:rPr>
          <w:rFonts w:ascii="Calibri" w:eastAsia="Times New Roman" w:hAnsi="Calibri" w:cs="Times New Roman"/>
          <w:b/>
          <w:color w:val="0D0D0D" w:themeColor="text1" w:themeTint="F2"/>
          <w:sz w:val="26"/>
          <w:szCs w:val="26"/>
          <w:lang w:eastAsia="ru-RU"/>
        </w:rPr>
        <w:t>Возможность избирать профессиональных и независимых арбитров</w:t>
      </w: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 – лучших юристов и отраслевых специалистов Казахстана и зарубежных стран. Гарантия вынесения арбитрами обоснованных и справедливых решений. При этом юридическая сила арбитражных решений является такой же, как сила судебных решений. </w:t>
      </w:r>
    </w:p>
    <w:p w:rsidR="00F531E5" w:rsidRPr="001A119D" w:rsidRDefault="00F531E5" w:rsidP="00F531E5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1A119D">
        <w:rPr>
          <w:rFonts w:ascii="Calibri" w:eastAsia="Times New Roman" w:hAnsi="Calibri" w:cs="Times New Roman"/>
          <w:b/>
          <w:color w:val="0D0D0D" w:themeColor="text1" w:themeTint="F2"/>
          <w:sz w:val="26"/>
          <w:szCs w:val="26"/>
          <w:lang w:eastAsia="ru-RU"/>
        </w:rPr>
        <w:t>Оперативное получение окончательного решения</w:t>
      </w: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 – в среднем 3 месяца с момента подачи иска. Арбитраж разрешает дело в одной инстанции (без апелляции и кассации).</w:t>
      </w:r>
    </w:p>
    <w:p w:rsidR="00F531E5" w:rsidRPr="001A119D" w:rsidRDefault="00F531E5" w:rsidP="00F531E5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1A119D">
        <w:rPr>
          <w:rFonts w:ascii="Calibri" w:eastAsia="Times New Roman" w:hAnsi="Calibri" w:cs="Times New Roman"/>
          <w:b/>
          <w:color w:val="0D0D0D" w:themeColor="text1" w:themeTint="F2"/>
          <w:sz w:val="26"/>
          <w:szCs w:val="26"/>
          <w:lang w:eastAsia="ru-RU"/>
        </w:rPr>
        <w:t>Руководство пожеланиями сторон при проведении разбирательства.</w:t>
      </w: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 С учетом </w:t>
      </w:r>
      <w:proofErr w:type="spellStart"/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>клиенто</w:t>
      </w:r>
      <w:proofErr w:type="spellEnd"/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>-ориентированного подхода обеспечивается гибкость и удобство участия в разбирательствах. Так, применяется видеоконференцсвязь, что позволяет компаниям не направлять своих представителей в командировки, если разбирательство проходит в другом регионе.</w:t>
      </w:r>
    </w:p>
    <w:p w:rsidR="00F531E5" w:rsidRPr="001A119D" w:rsidRDefault="00F531E5" w:rsidP="00F531E5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1A119D">
        <w:rPr>
          <w:rFonts w:ascii="Calibri" w:eastAsia="Times New Roman" w:hAnsi="Calibri" w:cs="Times New Roman"/>
          <w:b/>
          <w:color w:val="0D0D0D" w:themeColor="text1" w:themeTint="F2"/>
          <w:sz w:val="26"/>
          <w:szCs w:val="26"/>
          <w:lang w:eastAsia="ru-RU"/>
        </w:rPr>
        <w:t>Экономия на пошлине</w:t>
      </w: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 – сумма сборов в Арбитражном центре ниже, чем сумма государственной пошлины в судах и других арбитражах. Если сумма пошлины в судах всегда составляет 3% от цены иска, то сумма сбора в Арбитражном центре может доходить до 0,5% от цены иска. Предусматривается система уменьшения сбора при повторной подаче иска, при рассмотрении спора единоличным арбитром.</w:t>
      </w:r>
    </w:p>
    <w:p w:rsidR="00F531E5" w:rsidRPr="001A119D" w:rsidRDefault="00F531E5" w:rsidP="00F531E5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1A119D">
        <w:rPr>
          <w:rFonts w:ascii="Calibri" w:eastAsia="Times New Roman" w:hAnsi="Calibri" w:cs="Times New Roman"/>
          <w:b/>
          <w:color w:val="0D0D0D" w:themeColor="text1" w:themeTint="F2"/>
          <w:sz w:val="26"/>
          <w:szCs w:val="26"/>
          <w:lang w:eastAsia="ru-RU"/>
        </w:rPr>
        <w:t>Лучшая исполнимость арбитрами решений за рубежом</w:t>
      </w: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 в соответствии с Нью-Йоркской конвенцией об исполнении иностранных арбитражных решений. Участие Казахстана в данной конвенции позволяет исполнить арбитражное решение в 169 странах мира. Напротив, решение государственного суда можно исполнить лишь в 22 странах, при наличии межгосударственных соглашений.</w:t>
      </w:r>
    </w:p>
    <w:p w:rsidR="00F531E5" w:rsidRPr="001A119D" w:rsidRDefault="00F531E5" w:rsidP="00F531E5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1A119D">
        <w:rPr>
          <w:rFonts w:ascii="Calibri" w:eastAsia="Times New Roman" w:hAnsi="Calibri" w:cs="Times New Roman"/>
          <w:b/>
          <w:color w:val="0D0D0D" w:themeColor="text1" w:themeTint="F2"/>
          <w:sz w:val="26"/>
          <w:szCs w:val="26"/>
          <w:lang w:eastAsia="ru-RU"/>
        </w:rPr>
        <w:lastRenderedPageBreak/>
        <w:t>Конфиденциальность разбирательства</w:t>
      </w: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 – факт разбирательства и итоговое решение не могут быть разглашены третьим лицам. Соответствующая обязанность закреплена в Законе «Об арбитраже».</w:t>
      </w:r>
    </w:p>
    <w:p w:rsidR="00F531E5" w:rsidRPr="001A119D" w:rsidRDefault="00F531E5" w:rsidP="00F531E5">
      <w:pPr>
        <w:shd w:val="clear" w:color="auto" w:fill="FFFFFF"/>
        <w:tabs>
          <w:tab w:val="left" w:pos="142"/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>С 2015 года Арбитражный центр рассмотрел около 1</w:t>
      </w:r>
      <w:r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val="kk-KZ" w:eastAsia="ru-RU"/>
        </w:rPr>
        <w:t>20</w:t>
      </w:r>
      <w:r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дел с участием как местных, так и иностранных компаний (из Азербайджана, Белоруссии, Испании, Китая, Латвии, Молдовы, Польши, России, США, Узбекистана, Кыргызстана, ЮАР, Сейшелов). </w:t>
      </w:r>
    </w:p>
    <w:p w:rsidR="00F531E5" w:rsidRPr="001A119D" w:rsidRDefault="00F531E5" w:rsidP="00F531E5">
      <w:pPr>
        <w:shd w:val="clear" w:color="auto" w:fill="FFFFFF"/>
        <w:tabs>
          <w:tab w:val="left" w:pos="142"/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С учетом вышеизложенного предлагаем Вам включать в заключаемые компаниями договоры оговорки о рассмотрении споров в арбитраже. </w:t>
      </w:r>
      <w:r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>300</w:t>
      </w: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 xml:space="preserve"> компаний Казахстана уже включают их в свои договоры. Текст оговорки можно получить на сайте </w:t>
      </w:r>
      <w:hyperlink r:id="rId5" w:tgtFrame="_blank" w:history="1">
        <w:r w:rsidRPr="001A119D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www.aca.kz</w:t>
        </w:r>
      </w:hyperlink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F531E5" w:rsidRPr="001A119D" w:rsidRDefault="00F531E5" w:rsidP="00F531E5">
      <w:pPr>
        <w:shd w:val="clear" w:color="auto" w:fill="FFFFFF"/>
        <w:tabs>
          <w:tab w:val="left" w:pos="142"/>
          <w:tab w:val="left" w:pos="284"/>
          <w:tab w:val="left" w:pos="851"/>
        </w:tabs>
        <w:spacing w:before="120" w:after="120" w:line="240" w:lineRule="auto"/>
        <w:ind w:firstLine="567"/>
        <w:jc w:val="both"/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</w:pPr>
      <w:r w:rsidRPr="001A119D">
        <w:rPr>
          <w:rFonts w:ascii="Calibri" w:eastAsia="Times New Roman" w:hAnsi="Calibri" w:cs="Times New Roman"/>
          <w:color w:val="0D0D0D" w:themeColor="text1" w:themeTint="F2"/>
          <w:sz w:val="26"/>
          <w:szCs w:val="26"/>
          <w:lang w:eastAsia="ru-RU"/>
        </w:rPr>
        <w:t>В случае наличия вопросов, готовы представить Вам более детальное раскрытие преимуществ и особенностей разбирательств споров арбитраже.</w:t>
      </w:r>
    </w:p>
    <w:p w:rsidR="00133678" w:rsidRDefault="00133678"/>
    <w:sectPr w:rsidR="001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455"/>
    <w:multiLevelType w:val="hybridMultilevel"/>
    <w:tmpl w:val="A022C7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49"/>
    <w:rsid w:val="00133678"/>
    <w:rsid w:val="001A4B49"/>
    <w:rsid w:val="009A7F9F"/>
    <w:rsid w:val="00F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E170-4DE9-48C0-A360-A95D7A1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2022-04-04T04:31:00Z</dcterms:created>
  <dcterms:modified xsi:type="dcterms:W3CDTF">2022-04-04T04:32:00Z</dcterms:modified>
</cp:coreProperties>
</file>